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F5" w:rsidRDefault="003F15A3" w:rsidP="003F15A3">
      <w:pPr>
        <w:jc w:val="center"/>
        <w:rPr>
          <w:rFonts w:ascii="Times New Roman" w:hAnsi="Times New Roman" w:cs="Times New Roman"/>
          <w:b/>
          <w:sz w:val="28"/>
        </w:rPr>
      </w:pPr>
      <w:r w:rsidRPr="003F15A3">
        <w:rPr>
          <w:rFonts w:ascii="Times New Roman" w:hAnsi="Times New Roman" w:cs="Times New Roman"/>
          <w:b/>
          <w:sz w:val="28"/>
        </w:rPr>
        <w:t>Мониторинг объективности результатов оценочных процедур</w:t>
      </w:r>
    </w:p>
    <w:p w:rsidR="00A75C36" w:rsidRDefault="00A75C36" w:rsidP="00A75C36">
      <w:pPr>
        <w:pStyle w:val="Default"/>
        <w:jc w:val="both"/>
        <w:rPr>
          <w:sz w:val="28"/>
          <w:szCs w:val="28"/>
        </w:rPr>
      </w:pPr>
      <w:r>
        <w:rPr>
          <w:sz w:val="28"/>
        </w:rPr>
        <w:t xml:space="preserve">МАОУ СОШ № 2 в 2018 – 2019 учебном году включена в список школ с </w:t>
      </w:r>
      <w:r>
        <w:rPr>
          <w:sz w:val="28"/>
          <w:szCs w:val="28"/>
        </w:rPr>
        <w:t xml:space="preserve">признаками необъективных результатов по </w:t>
      </w:r>
      <w:proofErr w:type="gramStart"/>
      <w:r>
        <w:rPr>
          <w:sz w:val="28"/>
          <w:szCs w:val="28"/>
        </w:rPr>
        <w:t>следующему  маркеру</w:t>
      </w:r>
      <w:proofErr w:type="gramEnd"/>
      <w:r>
        <w:rPr>
          <w:sz w:val="28"/>
          <w:szCs w:val="28"/>
        </w:rPr>
        <w:t xml:space="preserve">:  «Резкое изменение результатов от 2018 к 2019 году (математика 4 и 5 класс)». </w:t>
      </w:r>
      <w:r w:rsidR="004D26F8">
        <w:rPr>
          <w:sz w:val="28"/>
          <w:szCs w:val="28"/>
        </w:rPr>
        <w:t>В данной ситуации</w:t>
      </w:r>
      <w:r>
        <w:rPr>
          <w:sz w:val="28"/>
          <w:szCs w:val="28"/>
        </w:rPr>
        <w:t xml:space="preserve"> особое внимание обращает тот факт, что в сравнении с результатами по </w:t>
      </w:r>
      <w:r w:rsidR="004D26F8">
        <w:rPr>
          <w:sz w:val="28"/>
          <w:szCs w:val="28"/>
        </w:rPr>
        <w:t>математике</w:t>
      </w:r>
      <w:r>
        <w:rPr>
          <w:sz w:val="28"/>
          <w:szCs w:val="28"/>
        </w:rPr>
        <w:t xml:space="preserve"> в 4 классе в 2018 году (одни и те же обучающиеся) в 2019 году в 5 классе</w:t>
      </w:r>
      <w:r w:rsidR="004D26F8">
        <w:rPr>
          <w:sz w:val="28"/>
          <w:szCs w:val="28"/>
        </w:rPr>
        <w:t xml:space="preserve"> </w:t>
      </w:r>
      <w:r>
        <w:rPr>
          <w:sz w:val="28"/>
          <w:szCs w:val="28"/>
        </w:rPr>
        <w:t>резко увеличилась доля</w:t>
      </w:r>
      <w:r w:rsidR="004D26F8">
        <w:rPr>
          <w:sz w:val="28"/>
          <w:szCs w:val="28"/>
        </w:rPr>
        <w:t xml:space="preserve"> отметок «2» (в 2018 г. «2» - 26%, в 2019 г. – 84%). Такая ситуация может свидетельствовать о наличии признаков необъективности оценивания результатов обучающихся в процессе обучения, так как в процессе проведения ВПР были соблюдены все организационные условия, были наблюдатели, было выдержано время проведения ВПР. </w:t>
      </w:r>
      <w:r w:rsidR="003C7879">
        <w:rPr>
          <w:sz w:val="28"/>
          <w:szCs w:val="28"/>
        </w:rPr>
        <w:t xml:space="preserve">В процессе проверки ВПР также не могло проявиться признаков необъективности, так как осуществлялась перекрестная проверка. Наши работы проверялись учителями школы с. </w:t>
      </w:r>
      <w:proofErr w:type="spellStart"/>
      <w:r w:rsidR="003C7879">
        <w:rPr>
          <w:sz w:val="28"/>
          <w:szCs w:val="28"/>
        </w:rPr>
        <w:t>Быньги</w:t>
      </w:r>
      <w:proofErr w:type="spellEnd"/>
      <w:r w:rsidR="003C7879">
        <w:rPr>
          <w:sz w:val="28"/>
          <w:szCs w:val="28"/>
        </w:rPr>
        <w:t>.</w:t>
      </w:r>
    </w:p>
    <w:p w:rsidR="003C7879" w:rsidRDefault="003C7879" w:rsidP="00A75C36">
      <w:pPr>
        <w:pStyle w:val="Default"/>
        <w:jc w:val="both"/>
        <w:rPr>
          <w:sz w:val="28"/>
          <w:szCs w:val="28"/>
        </w:rPr>
      </w:pPr>
    </w:p>
    <w:p w:rsidR="003C7879" w:rsidRDefault="003C7879" w:rsidP="003C7879">
      <w:pPr>
        <w:pStyle w:val="Default"/>
        <w:jc w:val="center"/>
        <w:rPr>
          <w:b/>
          <w:szCs w:val="28"/>
        </w:rPr>
      </w:pPr>
      <w:r w:rsidRPr="003C7879">
        <w:rPr>
          <w:b/>
          <w:szCs w:val="28"/>
        </w:rPr>
        <w:t>Распределение отметок по математике в 4 классе 2018 г. и в 5 классе 2019 г.</w:t>
      </w:r>
    </w:p>
    <w:p w:rsidR="003C7879" w:rsidRDefault="003C7879" w:rsidP="003C7879">
      <w:pPr>
        <w:pStyle w:val="Default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1318"/>
        <w:gridCol w:w="690"/>
        <w:gridCol w:w="686"/>
        <w:gridCol w:w="683"/>
        <w:gridCol w:w="681"/>
        <w:gridCol w:w="1318"/>
        <w:gridCol w:w="670"/>
        <w:gridCol w:w="552"/>
        <w:gridCol w:w="670"/>
        <w:gridCol w:w="671"/>
      </w:tblGrid>
      <w:tr w:rsidR="002B625E" w:rsidTr="003C7879"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4503" w:type="dxa"/>
            <w:gridSpan w:val="5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4331" w:type="dxa"/>
            <w:gridSpan w:val="5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2019</w:t>
            </w:r>
          </w:p>
        </w:tc>
      </w:tr>
      <w:tr w:rsidR="002B625E" w:rsidTr="003C7879"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4503" w:type="dxa"/>
            <w:gridSpan w:val="5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 класс</w:t>
            </w:r>
          </w:p>
        </w:tc>
        <w:tc>
          <w:tcPr>
            <w:tcW w:w="4331" w:type="dxa"/>
            <w:gridSpan w:val="5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 класс</w:t>
            </w:r>
          </w:p>
        </w:tc>
      </w:tr>
      <w:tr w:rsidR="002B625E" w:rsidTr="003C7879"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4503" w:type="dxa"/>
            <w:gridSpan w:val="5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4331" w:type="dxa"/>
            <w:gridSpan w:val="5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2B625E" w:rsidTr="003C7879"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1382" w:type="dxa"/>
          </w:tcPr>
          <w:p w:rsidR="003C7879" w:rsidRPr="003C7879" w:rsidRDefault="003C7879" w:rsidP="003C7879">
            <w:pPr>
              <w:pStyle w:val="Default"/>
              <w:jc w:val="center"/>
              <w:rPr>
                <w:sz w:val="22"/>
                <w:szCs w:val="28"/>
              </w:rPr>
            </w:pPr>
            <w:r w:rsidRPr="003C7879">
              <w:rPr>
                <w:sz w:val="22"/>
                <w:szCs w:val="28"/>
              </w:rPr>
              <w:t>Кол-во участников</w:t>
            </w:r>
          </w:p>
        </w:tc>
        <w:tc>
          <w:tcPr>
            <w:tcW w:w="3121" w:type="dxa"/>
            <w:gridSpan w:val="4"/>
          </w:tcPr>
          <w:p w:rsidR="003C7879" w:rsidRPr="003C7879" w:rsidRDefault="003C7879" w:rsidP="003C7879">
            <w:pPr>
              <w:pStyle w:val="Default"/>
              <w:jc w:val="center"/>
              <w:rPr>
                <w:sz w:val="22"/>
                <w:szCs w:val="28"/>
              </w:rPr>
            </w:pPr>
            <w:r w:rsidRPr="003C7879">
              <w:rPr>
                <w:sz w:val="22"/>
                <w:szCs w:val="28"/>
              </w:rPr>
              <w:t>Распределение групп баллов в %</w:t>
            </w:r>
          </w:p>
        </w:tc>
        <w:tc>
          <w:tcPr>
            <w:tcW w:w="1382" w:type="dxa"/>
          </w:tcPr>
          <w:p w:rsidR="003C7879" w:rsidRPr="003C7879" w:rsidRDefault="003C7879" w:rsidP="003C7879">
            <w:pPr>
              <w:pStyle w:val="Default"/>
              <w:jc w:val="center"/>
              <w:rPr>
                <w:sz w:val="22"/>
                <w:szCs w:val="28"/>
              </w:rPr>
            </w:pPr>
            <w:r w:rsidRPr="003C7879">
              <w:rPr>
                <w:sz w:val="22"/>
                <w:szCs w:val="28"/>
              </w:rPr>
              <w:t>Кол-во участников</w:t>
            </w:r>
          </w:p>
        </w:tc>
        <w:tc>
          <w:tcPr>
            <w:tcW w:w="2949" w:type="dxa"/>
            <w:gridSpan w:val="4"/>
          </w:tcPr>
          <w:p w:rsidR="003C7879" w:rsidRPr="003C7879" w:rsidRDefault="003C7879" w:rsidP="003C7879">
            <w:pPr>
              <w:pStyle w:val="Default"/>
              <w:jc w:val="center"/>
              <w:rPr>
                <w:sz w:val="22"/>
                <w:szCs w:val="28"/>
              </w:rPr>
            </w:pPr>
            <w:r w:rsidRPr="003C7879">
              <w:rPr>
                <w:sz w:val="22"/>
                <w:szCs w:val="28"/>
              </w:rPr>
              <w:t>Распределение групп баллов в %</w:t>
            </w:r>
          </w:p>
        </w:tc>
      </w:tr>
      <w:tr w:rsidR="00530976" w:rsidTr="003C7879"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1382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794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83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5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69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82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8" w:type="dxa"/>
          </w:tcPr>
          <w:p w:rsidR="003C7879" w:rsidRDefault="003C7879" w:rsidP="003C787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30976" w:rsidTr="003C7879">
        <w:tc>
          <w:tcPr>
            <w:tcW w:w="737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Вся выборка</w:t>
            </w:r>
          </w:p>
        </w:tc>
        <w:tc>
          <w:tcPr>
            <w:tcW w:w="1382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1460995</w:t>
            </w:r>
          </w:p>
        </w:tc>
        <w:tc>
          <w:tcPr>
            <w:tcW w:w="794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1,9</w:t>
            </w:r>
          </w:p>
        </w:tc>
        <w:tc>
          <w:tcPr>
            <w:tcW w:w="783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775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30,1</w:t>
            </w:r>
          </w:p>
        </w:tc>
        <w:tc>
          <w:tcPr>
            <w:tcW w:w="769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382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8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</w:tr>
      <w:tr w:rsidR="00530976" w:rsidTr="003C7879">
        <w:tc>
          <w:tcPr>
            <w:tcW w:w="737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Свердловская обл.</w:t>
            </w:r>
          </w:p>
        </w:tc>
        <w:tc>
          <w:tcPr>
            <w:tcW w:w="1382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44488</w:t>
            </w:r>
          </w:p>
        </w:tc>
        <w:tc>
          <w:tcPr>
            <w:tcW w:w="794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83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20,5</w:t>
            </w:r>
          </w:p>
        </w:tc>
        <w:tc>
          <w:tcPr>
            <w:tcW w:w="775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28,4</w:t>
            </w:r>
          </w:p>
        </w:tc>
        <w:tc>
          <w:tcPr>
            <w:tcW w:w="769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48,1</w:t>
            </w:r>
          </w:p>
        </w:tc>
        <w:tc>
          <w:tcPr>
            <w:tcW w:w="1382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7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738" w:type="dxa"/>
          </w:tcPr>
          <w:p w:rsidR="003C7879" w:rsidRDefault="003C7879" w:rsidP="003C7879">
            <w:pPr>
              <w:pStyle w:val="Default"/>
              <w:jc w:val="both"/>
              <w:rPr>
                <w:szCs w:val="28"/>
              </w:rPr>
            </w:pPr>
          </w:p>
        </w:tc>
      </w:tr>
      <w:tr w:rsidR="00530976" w:rsidTr="003C7879">
        <w:tc>
          <w:tcPr>
            <w:tcW w:w="737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Невьянский ГО</w:t>
            </w:r>
          </w:p>
        </w:tc>
        <w:tc>
          <w:tcPr>
            <w:tcW w:w="1382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442</w:t>
            </w:r>
          </w:p>
        </w:tc>
        <w:tc>
          <w:tcPr>
            <w:tcW w:w="794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  <w:tc>
          <w:tcPr>
            <w:tcW w:w="783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25,1</w:t>
            </w:r>
          </w:p>
        </w:tc>
        <w:tc>
          <w:tcPr>
            <w:tcW w:w="775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27,6</w:t>
            </w:r>
          </w:p>
        </w:tc>
        <w:tc>
          <w:tcPr>
            <w:tcW w:w="769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44,1</w:t>
            </w:r>
          </w:p>
        </w:tc>
        <w:tc>
          <w:tcPr>
            <w:tcW w:w="1382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445</w:t>
            </w:r>
          </w:p>
        </w:tc>
        <w:tc>
          <w:tcPr>
            <w:tcW w:w="737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26,5</w:t>
            </w:r>
          </w:p>
        </w:tc>
        <w:tc>
          <w:tcPr>
            <w:tcW w:w="737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737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28,8</w:t>
            </w:r>
          </w:p>
        </w:tc>
        <w:tc>
          <w:tcPr>
            <w:tcW w:w="738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17,8</w:t>
            </w:r>
          </w:p>
        </w:tc>
      </w:tr>
      <w:tr w:rsidR="00530976" w:rsidTr="003C7879">
        <w:tc>
          <w:tcPr>
            <w:tcW w:w="737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МАОУ СОШ № 2</w:t>
            </w:r>
          </w:p>
        </w:tc>
        <w:tc>
          <w:tcPr>
            <w:tcW w:w="1382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794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  <w:tc>
          <w:tcPr>
            <w:tcW w:w="783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43,5</w:t>
            </w:r>
          </w:p>
        </w:tc>
        <w:tc>
          <w:tcPr>
            <w:tcW w:w="775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69" w:type="dxa"/>
          </w:tcPr>
          <w:p w:rsidR="003C7879" w:rsidRDefault="002B625E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17,4</w:t>
            </w:r>
          </w:p>
        </w:tc>
        <w:tc>
          <w:tcPr>
            <w:tcW w:w="1382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737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737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737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38" w:type="dxa"/>
          </w:tcPr>
          <w:p w:rsidR="003C7879" w:rsidRDefault="00530976" w:rsidP="003C7879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3C7879" w:rsidRDefault="003C7879" w:rsidP="003C7879">
      <w:pPr>
        <w:pStyle w:val="Default"/>
        <w:jc w:val="both"/>
        <w:rPr>
          <w:szCs w:val="28"/>
        </w:rPr>
      </w:pPr>
    </w:p>
    <w:p w:rsidR="00FF6149" w:rsidRDefault="00FF6149" w:rsidP="00FF6149">
      <w:pPr>
        <w:pStyle w:val="Default"/>
        <w:jc w:val="center"/>
        <w:rPr>
          <w:b/>
          <w:szCs w:val="28"/>
        </w:rPr>
      </w:pPr>
      <w:r w:rsidRPr="00FF6149">
        <w:rPr>
          <w:b/>
          <w:szCs w:val="28"/>
        </w:rPr>
        <w:t>Изменение результатов по математике в 4 классе 2018 г. 5 классе 2019 г.</w:t>
      </w:r>
    </w:p>
    <w:p w:rsidR="00FF6149" w:rsidRPr="00FF6149" w:rsidRDefault="00F21E00" w:rsidP="00FF6149">
      <w:pPr>
        <w:pStyle w:val="Default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4743450" cy="27622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6127" w:rsidRDefault="00866127" w:rsidP="00A75C36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795"/>
        <w:gridCol w:w="732"/>
        <w:gridCol w:w="731"/>
        <w:gridCol w:w="731"/>
        <w:gridCol w:w="731"/>
        <w:gridCol w:w="731"/>
        <w:gridCol w:w="731"/>
        <w:gridCol w:w="731"/>
        <w:gridCol w:w="731"/>
        <w:gridCol w:w="731"/>
        <w:gridCol w:w="732"/>
        <w:gridCol w:w="732"/>
        <w:gridCol w:w="732"/>
      </w:tblGrid>
      <w:tr w:rsidR="00866127" w:rsidTr="00866127">
        <w:trPr>
          <w:cantSplit/>
          <w:trHeight w:val="1981"/>
        </w:trPr>
        <w:tc>
          <w:tcPr>
            <w:tcW w:w="795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</w:p>
        </w:tc>
        <w:tc>
          <w:tcPr>
            <w:tcW w:w="732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22"/>
                <w:szCs w:val="23"/>
              </w:rPr>
            </w:pPr>
            <w:r w:rsidRPr="00866127">
              <w:rPr>
                <w:sz w:val="22"/>
                <w:szCs w:val="23"/>
              </w:rPr>
              <w:t xml:space="preserve">Класс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участников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совпадений отметки за работу и отметки по журналу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Доля совпадений отметки за работу и отметки по журналу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расхождений отметки за работу и отметки по журналу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Доля расхождений отметки за работу и отметки по журналу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отметок по журналу выше, чем отметки за работу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Доля отметок по журналу выше, чем отметки за работу </w:t>
            </w:r>
          </w:p>
        </w:tc>
        <w:tc>
          <w:tcPr>
            <w:tcW w:w="731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отметок по журналу ниже, чем отметки за работу </w:t>
            </w:r>
          </w:p>
        </w:tc>
        <w:tc>
          <w:tcPr>
            <w:tcW w:w="732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Доля отметок по журналу ниже, чем отметки за работу </w:t>
            </w:r>
          </w:p>
        </w:tc>
        <w:tc>
          <w:tcPr>
            <w:tcW w:w="732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расхождений на </w:t>
            </w:r>
          </w:p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1 балл </w:t>
            </w:r>
          </w:p>
        </w:tc>
        <w:tc>
          <w:tcPr>
            <w:tcW w:w="732" w:type="dxa"/>
            <w:textDirection w:val="btLr"/>
          </w:tcPr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Количество расхождений на </w:t>
            </w:r>
          </w:p>
          <w:p w:rsidR="00866127" w:rsidRPr="00866127" w:rsidRDefault="00866127" w:rsidP="00866127">
            <w:pPr>
              <w:pStyle w:val="Default"/>
              <w:ind w:left="113" w:right="113"/>
              <w:rPr>
                <w:sz w:val="18"/>
                <w:szCs w:val="23"/>
              </w:rPr>
            </w:pPr>
            <w:r w:rsidRPr="00866127">
              <w:rPr>
                <w:sz w:val="18"/>
                <w:szCs w:val="23"/>
              </w:rPr>
              <w:t xml:space="preserve">2 балла </w:t>
            </w:r>
          </w:p>
        </w:tc>
      </w:tr>
      <w:tr w:rsidR="00866127" w:rsidTr="00866127">
        <w:tc>
          <w:tcPr>
            <w:tcW w:w="795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МАОУ СОШ № 2</w:t>
            </w:r>
          </w:p>
        </w:tc>
        <w:tc>
          <w:tcPr>
            <w:tcW w:w="732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31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32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32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32" w:type="dxa"/>
          </w:tcPr>
          <w:p w:rsidR="00866127" w:rsidRPr="00866127" w:rsidRDefault="00866127" w:rsidP="008661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</w:tbl>
    <w:p w:rsidR="00866127" w:rsidRPr="00866127" w:rsidRDefault="00866127" w:rsidP="00866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6127">
        <w:rPr>
          <w:rFonts w:ascii="Times New Roman" w:hAnsi="Times New Roman" w:cs="Times New Roman"/>
          <w:b/>
          <w:sz w:val="24"/>
          <w:szCs w:val="28"/>
        </w:rPr>
        <w:t>Соответствие отметок за работу и отметок по журналу в 2019 году</w:t>
      </w:r>
      <w:r w:rsidRPr="00866127">
        <w:rPr>
          <w:b/>
          <w:sz w:val="24"/>
          <w:szCs w:val="28"/>
        </w:rPr>
        <w:t xml:space="preserve"> </w:t>
      </w:r>
      <w:r w:rsidRPr="00866127">
        <w:rPr>
          <w:rFonts w:ascii="Times New Roman" w:hAnsi="Times New Roman" w:cs="Times New Roman"/>
          <w:b/>
          <w:sz w:val="24"/>
          <w:szCs w:val="28"/>
        </w:rPr>
        <w:t>(математика)</w:t>
      </w:r>
    </w:p>
    <w:p w:rsidR="004A4C5D" w:rsidRDefault="004A4C5D" w:rsidP="00A75C36">
      <w:pPr>
        <w:spacing w:line="240" w:lineRule="auto"/>
        <w:jc w:val="both"/>
        <w:rPr>
          <w:sz w:val="28"/>
          <w:szCs w:val="28"/>
        </w:rPr>
      </w:pPr>
    </w:p>
    <w:p w:rsidR="00EE566F" w:rsidRPr="00197360" w:rsidRDefault="00A75C36" w:rsidP="00A75C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7360">
        <w:rPr>
          <w:rFonts w:ascii="Times New Roman" w:hAnsi="Times New Roman" w:cs="Times New Roman"/>
          <w:sz w:val="28"/>
          <w:szCs w:val="28"/>
        </w:rPr>
        <w:t>Сопоставление отме</w:t>
      </w:r>
      <w:r w:rsidR="00B95CE5" w:rsidRPr="00197360">
        <w:rPr>
          <w:rFonts w:ascii="Times New Roman" w:hAnsi="Times New Roman" w:cs="Times New Roman"/>
          <w:sz w:val="28"/>
          <w:szCs w:val="28"/>
        </w:rPr>
        <w:t>ток за работу по математике в</w:t>
      </w:r>
      <w:r w:rsidRPr="00197360">
        <w:rPr>
          <w:rFonts w:ascii="Times New Roman" w:hAnsi="Times New Roman" w:cs="Times New Roman"/>
          <w:sz w:val="28"/>
          <w:szCs w:val="28"/>
        </w:rPr>
        <w:t xml:space="preserve"> 5 классе в 2019 году и о</w:t>
      </w:r>
      <w:r w:rsidR="00B95CE5" w:rsidRPr="00197360">
        <w:rPr>
          <w:rFonts w:ascii="Times New Roman" w:hAnsi="Times New Roman" w:cs="Times New Roman"/>
          <w:sz w:val="28"/>
          <w:szCs w:val="28"/>
        </w:rPr>
        <w:t xml:space="preserve">тметок за работу </w:t>
      </w:r>
      <w:r w:rsidRPr="00197360">
        <w:rPr>
          <w:rFonts w:ascii="Times New Roman" w:hAnsi="Times New Roman" w:cs="Times New Roman"/>
          <w:sz w:val="28"/>
          <w:szCs w:val="28"/>
        </w:rPr>
        <w:t>пока</w:t>
      </w:r>
      <w:r w:rsidR="00B95CE5" w:rsidRPr="00197360">
        <w:rPr>
          <w:rFonts w:ascii="Times New Roman" w:hAnsi="Times New Roman" w:cs="Times New Roman"/>
          <w:sz w:val="28"/>
          <w:szCs w:val="28"/>
        </w:rPr>
        <w:t>зало, что у 100% обучающихся (31</w:t>
      </w:r>
      <w:r w:rsidRPr="00197360">
        <w:rPr>
          <w:rFonts w:ascii="Times New Roman" w:hAnsi="Times New Roman" w:cs="Times New Roman"/>
          <w:sz w:val="28"/>
          <w:szCs w:val="28"/>
        </w:rPr>
        <w:t xml:space="preserve"> человек) отметки не совпали, при этом у 100% обучающихся отметки по журналу выше, чем отметки за работу.</w:t>
      </w:r>
    </w:p>
    <w:p w:rsidR="00684A97" w:rsidRPr="00197360" w:rsidRDefault="00684A97" w:rsidP="00684A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360">
        <w:rPr>
          <w:rFonts w:ascii="Times New Roman" w:hAnsi="Times New Roman" w:cs="Times New Roman"/>
          <w:b/>
          <w:sz w:val="28"/>
          <w:szCs w:val="28"/>
        </w:rPr>
        <w:t>Анализ итогов мониторинга объективности результатов оценочных процедур</w:t>
      </w:r>
    </w:p>
    <w:p w:rsidR="003D72CD" w:rsidRPr="00197360" w:rsidRDefault="003D72CD" w:rsidP="00A75C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360">
        <w:rPr>
          <w:rFonts w:ascii="Times New Roman" w:hAnsi="Times New Roman" w:cs="Times New Roman"/>
          <w:sz w:val="28"/>
          <w:szCs w:val="28"/>
        </w:rPr>
        <w:t>Резкое увеличение неудовлетворительных отметок по математике за 5 класс по сравнению с 4 классом произошло по следующим причинам:</w:t>
      </w:r>
    </w:p>
    <w:p w:rsidR="003D72CD" w:rsidRPr="00197360" w:rsidRDefault="003D72CD" w:rsidP="003D72C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  <w:szCs w:val="28"/>
        </w:rPr>
        <w:t xml:space="preserve">В 2017 – 2018 </w:t>
      </w:r>
      <w:proofErr w:type="spellStart"/>
      <w:r w:rsidRPr="00197360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Pr="00197360">
        <w:rPr>
          <w:rFonts w:ascii="Times New Roman" w:hAnsi="Times New Roman" w:cs="Times New Roman"/>
          <w:sz w:val="28"/>
          <w:szCs w:val="28"/>
        </w:rPr>
        <w:t xml:space="preserve"> в ВПР не принимал участия класс для детей с ЗПР. В 2018 – 2019 </w:t>
      </w:r>
      <w:proofErr w:type="spellStart"/>
      <w:r w:rsidRPr="0019736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197360">
        <w:rPr>
          <w:rFonts w:ascii="Times New Roman" w:hAnsi="Times New Roman" w:cs="Times New Roman"/>
          <w:sz w:val="28"/>
          <w:szCs w:val="28"/>
        </w:rPr>
        <w:t xml:space="preserve">. приняли участие два пятых класса, один из них общеобразовательный (25 человек, второй для детей с ЗПР – 6 человек). </w:t>
      </w:r>
      <w:r w:rsidRPr="00197360">
        <w:rPr>
          <w:rFonts w:ascii="Times New Roman" w:hAnsi="Times New Roman" w:cs="Times New Roman"/>
          <w:sz w:val="28"/>
        </w:rPr>
        <w:t>Эти дети испытывают трудности в усвоении материала, отстают в развитии мыслительной деятельности. У них плохо сформированы такие операции как анализ, синтез, они не умеют выделять существенные признаки. У них низкий уровень смыслового чтения: искажают слова, не понимают смысл отдельных слов, предложений, отсюда они не поняли смысл заданий,  низкая техника чтения. Им характерны неустойчивость внимания, заторможенность в действиях, медленный темп работы. Им было не достаточно времени на выполнение этих заданий, хотя на ОГЭ этим детям добавляется время. Эти дети не мотивированы на результат.</w:t>
      </w:r>
    </w:p>
    <w:p w:rsidR="003D72CD" w:rsidRPr="00197360" w:rsidRDefault="00331A90" w:rsidP="003D72CD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Кроме детей с ЗПР в этих классах двое обучающихся, для которых русский язык не родной. Они приехали в Россию относительно недавно. Им сложно понимать задания, больше времени нужно на то, чтобы вчитаться и выполнить задание.</w:t>
      </w:r>
    </w:p>
    <w:p w:rsidR="00331A90" w:rsidRPr="00197360" w:rsidRDefault="006A46DD" w:rsidP="003D72CD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По словам учителя, ряд тем на момент написания ВПР еще не были пройдены.</w:t>
      </w:r>
    </w:p>
    <w:p w:rsidR="006A46DD" w:rsidRPr="00197360" w:rsidRDefault="006A46DD" w:rsidP="003D72CD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 xml:space="preserve">Ну и самая главная причина низких результатов заключается в самом учителе, а именно в </w:t>
      </w:r>
      <w:r w:rsidR="00041381" w:rsidRPr="00197360">
        <w:rPr>
          <w:rFonts w:ascii="Times New Roman" w:hAnsi="Times New Roman" w:cs="Times New Roman"/>
          <w:sz w:val="28"/>
        </w:rPr>
        <w:t xml:space="preserve">ее </w:t>
      </w:r>
      <w:r w:rsidRPr="00197360">
        <w:rPr>
          <w:rFonts w:ascii="Times New Roman" w:hAnsi="Times New Roman" w:cs="Times New Roman"/>
          <w:sz w:val="28"/>
        </w:rPr>
        <w:t>низкой компетентности</w:t>
      </w:r>
      <w:r w:rsidR="00041381" w:rsidRPr="00197360">
        <w:rPr>
          <w:rFonts w:ascii="Times New Roman" w:hAnsi="Times New Roman" w:cs="Times New Roman"/>
          <w:sz w:val="28"/>
        </w:rPr>
        <w:t xml:space="preserve">. </w:t>
      </w:r>
      <w:r w:rsidRPr="00197360">
        <w:rPr>
          <w:rFonts w:ascii="Times New Roman" w:hAnsi="Times New Roman" w:cs="Times New Roman"/>
          <w:sz w:val="28"/>
        </w:rPr>
        <w:t xml:space="preserve">Учитель математики, </w:t>
      </w:r>
      <w:r w:rsidRPr="00197360">
        <w:rPr>
          <w:rFonts w:ascii="Times New Roman" w:hAnsi="Times New Roman" w:cs="Times New Roman"/>
          <w:sz w:val="28"/>
        </w:rPr>
        <w:lastRenderedPageBreak/>
        <w:t xml:space="preserve">которая преподавала в 5 классе, в нашей школе работала первый год. Приехала к нам из Кировграда. Там она работала в профессиональном колледже, где специфика преподавания </w:t>
      </w:r>
      <w:r w:rsidR="00041381" w:rsidRPr="00197360">
        <w:rPr>
          <w:rFonts w:ascii="Times New Roman" w:hAnsi="Times New Roman" w:cs="Times New Roman"/>
          <w:sz w:val="28"/>
        </w:rPr>
        <w:t xml:space="preserve">отличается от школьной. Она не знакома была с ВПР по математике, со структурой работ, с требованиями и критериями оценивания. У учителя нет системы работы: нет единых требований к оценке, преобладает больше субъективный подход. Бессистемно проверяются знания учащихся: не вовремя проверяются контрольные работы, отметки не доводятся до сведения учеников, тетради проверяются нерегулярно. Имелись жалобы со стороны родителей. Учителю делались замечания по этому поводу. </w:t>
      </w:r>
    </w:p>
    <w:p w:rsidR="00684A97" w:rsidRPr="00197360" w:rsidRDefault="00684A97" w:rsidP="00684A97">
      <w:pPr>
        <w:pStyle w:val="a6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684A97" w:rsidRPr="00197360" w:rsidRDefault="00684A97" w:rsidP="00684A97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4A97" w:rsidRPr="00197360" w:rsidRDefault="00684A97" w:rsidP="00684A97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7360">
        <w:rPr>
          <w:rFonts w:ascii="Times New Roman" w:hAnsi="Times New Roman" w:cs="Times New Roman"/>
          <w:b/>
          <w:sz w:val="28"/>
        </w:rPr>
        <w:t>Наличие адресных рекомендаций по результатам анализа</w:t>
      </w:r>
    </w:p>
    <w:p w:rsidR="00F6139E" w:rsidRPr="00197360" w:rsidRDefault="00F6139E" w:rsidP="00684A97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7360">
        <w:rPr>
          <w:rFonts w:ascii="Times New Roman" w:hAnsi="Times New Roman" w:cs="Times New Roman"/>
          <w:b/>
          <w:sz w:val="28"/>
        </w:rPr>
        <w:t>(свои)</w:t>
      </w:r>
    </w:p>
    <w:p w:rsidR="00013E61" w:rsidRPr="00197360" w:rsidRDefault="00013E61" w:rsidP="00684A97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4A97" w:rsidRPr="00197360" w:rsidRDefault="00013E61" w:rsidP="00013E61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После получения отметок за  ВПР по математике в 5 классе, проанализировав полученные результаты, учителю были даны рекомендации:</w:t>
      </w:r>
    </w:p>
    <w:p w:rsidR="00013E61" w:rsidRPr="00197360" w:rsidRDefault="00013E61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пересмотреть систему оценивания обучающихся;</w:t>
      </w:r>
    </w:p>
    <w:p w:rsidR="00013E61" w:rsidRPr="00197360" w:rsidRDefault="00013E61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использовать в работе положение МАОУ СОШ о промежуточной аттестации обучающихся, где прописаны единые требования, критерии оценивания по всем предметам, по всем видам работ;</w:t>
      </w:r>
    </w:p>
    <w:p w:rsidR="00013E61" w:rsidRPr="00197360" w:rsidRDefault="00013E61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 xml:space="preserve">оценивание детей проводить </w:t>
      </w:r>
      <w:proofErr w:type="spellStart"/>
      <w:r w:rsidRPr="00197360">
        <w:rPr>
          <w:rFonts w:ascii="Times New Roman" w:hAnsi="Times New Roman" w:cs="Times New Roman"/>
          <w:sz w:val="28"/>
        </w:rPr>
        <w:t>ежеурочно</w:t>
      </w:r>
      <w:proofErr w:type="spellEnd"/>
      <w:r w:rsidRPr="00197360">
        <w:rPr>
          <w:rFonts w:ascii="Times New Roman" w:hAnsi="Times New Roman" w:cs="Times New Roman"/>
          <w:sz w:val="28"/>
        </w:rPr>
        <w:t>. Результаты должны быть отражены в журналах, дневниках учащихся;</w:t>
      </w:r>
    </w:p>
    <w:p w:rsidR="00013E61" w:rsidRPr="00197360" w:rsidRDefault="00EA51B4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 xml:space="preserve">скорректировать образовательный процесс с учетом полученных результатов с целью формирования предметных результатов в соответствии с ФГОС ООО, </w:t>
      </w:r>
      <w:r w:rsidR="00013E61" w:rsidRPr="00197360">
        <w:rPr>
          <w:rFonts w:ascii="Times New Roman" w:hAnsi="Times New Roman" w:cs="Times New Roman"/>
          <w:sz w:val="28"/>
        </w:rPr>
        <w:t xml:space="preserve">обратить внимание на методику преподавания. Обратиться за помощью к учителям – </w:t>
      </w:r>
      <w:proofErr w:type="spellStart"/>
      <w:r w:rsidR="00013E61" w:rsidRPr="00197360">
        <w:rPr>
          <w:rFonts w:ascii="Times New Roman" w:hAnsi="Times New Roman" w:cs="Times New Roman"/>
          <w:sz w:val="28"/>
        </w:rPr>
        <w:t>стажистам</w:t>
      </w:r>
      <w:proofErr w:type="spellEnd"/>
      <w:r w:rsidR="00013E61" w:rsidRPr="00197360">
        <w:rPr>
          <w:rFonts w:ascii="Times New Roman" w:hAnsi="Times New Roman" w:cs="Times New Roman"/>
          <w:sz w:val="28"/>
        </w:rPr>
        <w:t>;</w:t>
      </w:r>
    </w:p>
    <w:p w:rsidR="00EA51B4" w:rsidRPr="00197360" w:rsidRDefault="00EA51B4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организовать индивидуальную и групповую работу по ликвидации пробелов в з</w:t>
      </w:r>
      <w:r w:rsidR="00197360" w:rsidRPr="00197360">
        <w:rPr>
          <w:rFonts w:ascii="Times New Roman" w:hAnsi="Times New Roman" w:cs="Times New Roman"/>
          <w:sz w:val="28"/>
        </w:rPr>
        <w:t>н</w:t>
      </w:r>
      <w:r w:rsidRPr="00197360">
        <w:rPr>
          <w:rFonts w:ascii="Times New Roman" w:hAnsi="Times New Roman" w:cs="Times New Roman"/>
          <w:sz w:val="28"/>
        </w:rPr>
        <w:t>аниях;</w:t>
      </w:r>
    </w:p>
    <w:p w:rsidR="00013E61" w:rsidRPr="00197360" w:rsidRDefault="00013E61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в рамках работы школьного методического объединения математиков совместно проанализировать результаты ВПР, определить слабые стороны в подготовке учащихся к различным оценочным процедурам, получить рекомендации;</w:t>
      </w:r>
    </w:p>
    <w:p w:rsidR="00013E61" w:rsidRPr="00197360" w:rsidRDefault="00013E61" w:rsidP="00013E6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пройти повышение квалификации по подготовке к ВПР по математике.</w:t>
      </w:r>
    </w:p>
    <w:p w:rsidR="00013E61" w:rsidRPr="00197360" w:rsidRDefault="00013E61" w:rsidP="00013E6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7360">
        <w:rPr>
          <w:rFonts w:ascii="Times New Roman" w:hAnsi="Times New Roman" w:cs="Times New Roman"/>
          <w:b/>
          <w:sz w:val="28"/>
        </w:rPr>
        <w:t>Управленческие решения по результатам анализа</w:t>
      </w:r>
    </w:p>
    <w:p w:rsidR="00D979AF" w:rsidRPr="00197360" w:rsidRDefault="00D979AF" w:rsidP="00D97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5"/>
          <w:lang w:eastAsia="ru-RU"/>
        </w:rPr>
      </w:pPr>
      <w:r w:rsidRPr="00197360">
        <w:rPr>
          <w:rFonts w:ascii="Times New Roman" w:eastAsia="Times New Roman" w:hAnsi="Times New Roman" w:cs="Times New Roman"/>
          <w:sz w:val="28"/>
          <w:szCs w:val="35"/>
          <w:lang w:eastAsia="ru-RU"/>
        </w:rPr>
        <w:t xml:space="preserve">Назначение ВПР – оценить уровень общеобразовательной подготовки учащихся в соответствии с требованиями ФГОС. Основными задачами являются: совершенствование механизмов получения достоверной и содержательной информации о состоянии системы образования в общеобразовательной организации; развитие информационно-аналитической и методологической базы для принятия управленческих решений по развитию общеобразовательной организации; содействие процессам стандартизации оценочных процедур. Использование результатов ВПР важно </w:t>
      </w:r>
      <w:r w:rsidRPr="00197360">
        <w:rPr>
          <w:rFonts w:ascii="Times New Roman" w:eastAsia="Times New Roman" w:hAnsi="Times New Roman" w:cs="Times New Roman"/>
          <w:sz w:val="28"/>
          <w:szCs w:val="35"/>
          <w:lang w:eastAsia="ru-RU"/>
        </w:rPr>
        <w:lastRenderedPageBreak/>
        <w:t>для самоанализа общеобразовательной организации, выявления успехов или затруднений у различных групп учащихся, определения задач по совершенствованию методов и приёмов урочной и внеурочной деятельностью.</w:t>
      </w:r>
    </w:p>
    <w:p w:rsidR="00165A9A" w:rsidRPr="00197360" w:rsidRDefault="000E1919" w:rsidP="00D97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5"/>
          <w:lang w:eastAsia="ru-RU"/>
        </w:rPr>
      </w:pPr>
      <w:r w:rsidRPr="00197360">
        <w:rPr>
          <w:rFonts w:ascii="Times New Roman" w:hAnsi="Times New Roman" w:cs="Times New Roman"/>
          <w:sz w:val="28"/>
          <w:szCs w:val="35"/>
        </w:rPr>
        <w:t>Принятие управленческих решений по результатам ВПР, как правило, направлено на распространение позитивной практики, выявленной в ходе процесса интерпретации результатов внешних процедур оценки качества образования, и на коррекцию выявленных проблем и преодоление негативных тенденций.</w:t>
      </w:r>
    </w:p>
    <w:p w:rsidR="00684A97" w:rsidRPr="00197360" w:rsidRDefault="00F6139E" w:rsidP="00F6139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После анализа ВПР в МАОУ СОШ № 2  были приняты управленческие решения на трех уровнях: на уровне ученика, на уровне педагога, на уровне образовательной организации.</w:t>
      </w:r>
    </w:p>
    <w:p w:rsidR="00F6139E" w:rsidRPr="00197360" w:rsidRDefault="00F6139E" w:rsidP="00F6139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97360">
        <w:rPr>
          <w:rFonts w:ascii="Times New Roman" w:hAnsi="Times New Roman" w:cs="Times New Roman"/>
          <w:sz w:val="28"/>
        </w:rPr>
        <w:t>На уровне ученика:</w:t>
      </w:r>
    </w:p>
    <w:p w:rsidR="00F6139E" w:rsidRPr="00197360" w:rsidRDefault="00F6139E" w:rsidP="00F6139E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197360">
        <w:rPr>
          <w:rFonts w:ascii="Times New Roman" w:hAnsi="Times New Roman" w:cs="Times New Roman"/>
          <w:sz w:val="28"/>
          <w:szCs w:val="35"/>
        </w:rPr>
        <w:t>выявить динамику индивидуальных образовательных достижений учащихся, их продвижение в достижении планируемых результатов освоения основной образовательной программы соответствующего уровня;</w:t>
      </w:r>
    </w:p>
    <w:p w:rsidR="005024E6" w:rsidRPr="00197360" w:rsidRDefault="00F6139E" w:rsidP="00F6139E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</w:rPr>
      </w:pPr>
      <w:r w:rsidRPr="00197360">
        <w:rPr>
          <w:rFonts w:ascii="Times New Roman" w:hAnsi="Times New Roman" w:cs="Times New Roman"/>
          <w:sz w:val="28"/>
        </w:rPr>
        <w:t>на</w:t>
      </w:r>
      <w:r w:rsidRPr="00197360">
        <w:rPr>
          <w:rFonts w:ascii="Times New Roman" w:hAnsi="Times New Roman" w:cs="Times New Roman"/>
          <w:sz w:val="24"/>
        </w:rPr>
        <w:t xml:space="preserve"> основе данных результатов </w:t>
      </w:r>
      <w:r w:rsidRPr="00197360">
        <w:rPr>
          <w:rFonts w:ascii="Times New Roman" w:hAnsi="Times New Roman" w:cs="Times New Roman"/>
          <w:sz w:val="28"/>
          <w:szCs w:val="35"/>
        </w:rPr>
        <w:t>определить образовательные  потребности и интересы ребенка, выявить индивидуальные проблемы в обучении и выстроить индивидуальные траектории  работы с ребенком для их своевременного решения</w:t>
      </w:r>
    </w:p>
    <w:p w:rsidR="005024E6" w:rsidRPr="00197360" w:rsidRDefault="005024E6" w:rsidP="005024E6">
      <w:pPr>
        <w:spacing w:line="240" w:lineRule="auto"/>
        <w:jc w:val="both"/>
        <w:rPr>
          <w:rFonts w:ascii="Times New Roman" w:hAnsi="Times New Roman" w:cs="Times New Roman"/>
          <w:sz w:val="28"/>
          <w:szCs w:val="35"/>
        </w:rPr>
      </w:pPr>
      <w:r w:rsidRPr="00197360">
        <w:rPr>
          <w:rFonts w:ascii="Times New Roman" w:hAnsi="Times New Roman" w:cs="Times New Roman"/>
          <w:sz w:val="28"/>
          <w:szCs w:val="35"/>
        </w:rPr>
        <w:t>На уровне учителя – предметника:</w:t>
      </w:r>
    </w:p>
    <w:p w:rsidR="00F6139E" w:rsidRPr="00197360" w:rsidRDefault="005024E6" w:rsidP="005024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>обратить особое внимание на документы, которые размещаются вместе с текстами работ и описывают структуру и распределение заданий КИМ по содержанию</w:t>
      </w:r>
      <w:r w:rsidR="000E1919" w:rsidRPr="00197360">
        <w:rPr>
          <w:rFonts w:ascii="Times New Roman" w:hAnsi="Times New Roman" w:cs="Times New Roman"/>
          <w:sz w:val="28"/>
          <w:szCs w:val="24"/>
        </w:rPr>
        <w:t>, ви</w:t>
      </w:r>
      <w:r w:rsidRPr="00197360">
        <w:rPr>
          <w:rFonts w:ascii="Times New Roman" w:hAnsi="Times New Roman" w:cs="Times New Roman"/>
          <w:sz w:val="28"/>
          <w:szCs w:val="24"/>
        </w:rPr>
        <w:t>дам умений и способам действий;</w:t>
      </w:r>
    </w:p>
    <w:p w:rsidR="005024E6" w:rsidRPr="00197360" w:rsidRDefault="005024E6" w:rsidP="005024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 xml:space="preserve">совершенствовать рабочие программы и оценочные материалы для проведения текущего контроля и учёта </w:t>
      </w:r>
      <w:r w:rsidR="00A7491B" w:rsidRPr="00197360">
        <w:rPr>
          <w:rFonts w:ascii="Times New Roman" w:hAnsi="Times New Roman" w:cs="Times New Roman"/>
          <w:sz w:val="28"/>
          <w:szCs w:val="24"/>
        </w:rPr>
        <w:t xml:space="preserve">успеваемости </w:t>
      </w:r>
      <w:r w:rsidRPr="00197360">
        <w:rPr>
          <w:rFonts w:ascii="Times New Roman" w:hAnsi="Times New Roman" w:cs="Times New Roman"/>
          <w:sz w:val="28"/>
          <w:szCs w:val="24"/>
        </w:rPr>
        <w:t>обучающихся, промежуточной аттестации;</w:t>
      </w:r>
    </w:p>
    <w:p w:rsidR="00A7491B" w:rsidRPr="00197360" w:rsidRDefault="005024E6" w:rsidP="005024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>оптимизировать методы и приёмы урочной и внеурочной деятельно</w:t>
      </w:r>
      <w:r w:rsidR="00A7491B" w:rsidRPr="00197360">
        <w:rPr>
          <w:rFonts w:ascii="Times New Roman" w:hAnsi="Times New Roman" w:cs="Times New Roman"/>
          <w:sz w:val="28"/>
          <w:szCs w:val="24"/>
        </w:rPr>
        <w:t>сти для оптимизации процесса обучения;</w:t>
      </w:r>
    </w:p>
    <w:p w:rsidR="00A7491B" w:rsidRPr="00197360" w:rsidRDefault="00A7491B" w:rsidP="005024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>организовать работу школьных методических объединений по обсуждению типов ошиб</w:t>
      </w:r>
      <w:r w:rsidR="000E1919" w:rsidRPr="00197360">
        <w:rPr>
          <w:rFonts w:ascii="Times New Roman" w:hAnsi="Times New Roman" w:cs="Times New Roman"/>
          <w:sz w:val="28"/>
          <w:szCs w:val="24"/>
        </w:rPr>
        <w:t>ок и способов их предотвращения.</w:t>
      </w:r>
    </w:p>
    <w:p w:rsidR="00A7491B" w:rsidRPr="00197360" w:rsidRDefault="00A7491B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491B" w:rsidRPr="00197360" w:rsidRDefault="00A7491B" w:rsidP="00A7491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>На уровне школы:</w:t>
      </w:r>
    </w:p>
    <w:p w:rsidR="00A7491B" w:rsidRPr="00197360" w:rsidRDefault="009A3DDA" w:rsidP="00A7491B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35"/>
        </w:rPr>
        <w:t xml:space="preserve">результаты оценочных процедур ВПР в школе использованы для корректировки системы </w:t>
      </w:r>
      <w:proofErr w:type="spellStart"/>
      <w:r w:rsidRPr="00197360">
        <w:rPr>
          <w:rFonts w:ascii="Times New Roman" w:hAnsi="Times New Roman" w:cs="Times New Roman"/>
          <w:sz w:val="28"/>
          <w:szCs w:val="35"/>
        </w:rPr>
        <w:t>внутришкольного</w:t>
      </w:r>
      <w:proofErr w:type="spellEnd"/>
      <w:r w:rsidRPr="00197360">
        <w:rPr>
          <w:rFonts w:ascii="Times New Roman" w:hAnsi="Times New Roman" w:cs="Times New Roman"/>
          <w:sz w:val="28"/>
          <w:szCs w:val="35"/>
        </w:rPr>
        <w:t xml:space="preserve"> мониторинга резуль</w:t>
      </w:r>
      <w:r w:rsidR="00B778A3" w:rsidRPr="00197360">
        <w:rPr>
          <w:rFonts w:ascii="Times New Roman" w:hAnsi="Times New Roman" w:cs="Times New Roman"/>
          <w:sz w:val="28"/>
          <w:szCs w:val="35"/>
        </w:rPr>
        <w:t>татов учащихся;</w:t>
      </w:r>
    </w:p>
    <w:p w:rsidR="00B778A3" w:rsidRPr="00197360" w:rsidRDefault="00B778A3" w:rsidP="00B778A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 xml:space="preserve">организовать проведение контрольных </w:t>
      </w:r>
      <w:r w:rsidR="000E1919" w:rsidRPr="00197360">
        <w:rPr>
          <w:rFonts w:ascii="Times New Roman" w:hAnsi="Times New Roman" w:cs="Times New Roman"/>
          <w:sz w:val="28"/>
          <w:szCs w:val="24"/>
        </w:rPr>
        <w:t>работ</w:t>
      </w:r>
      <w:r w:rsidRPr="00197360">
        <w:rPr>
          <w:rFonts w:ascii="Times New Roman" w:hAnsi="Times New Roman" w:cs="Times New Roman"/>
          <w:sz w:val="28"/>
          <w:szCs w:val="24"/>
        </w:rPr>
        <w:t xml:space="preserve"> административного уровня в рамках </w:t>
      </w:r>
      <w:proofErr w:type="spellStart"/>
      <w:r w:rsidRPr="00197360">
        <w:rPr>
          <w:rFonts w:ascii="Times New Roman" w:hAnsi="Times New Roman" w:cs="Times New Roman"/>
          <w:sz w:val="28"/>
          <w:szCs w:val="24"/>
        </w:rPr>
        <w:t>внутришкольного</w:t>
      </w:r>
      <w:proofErr w:type="spellEnd"/>
      <w:r w:rsidRPr="00197360">
        <w:rPr>
          <w:rFonts w:ascii="Times New Roman" w:hAnsi="Times New Roman" w:cs="Times New Roman"/>
          <w:sz w:val="28"/>
          <w:szCs w:val="24"/>
        </w:rPr>
        <w:t xml:space="preserve"> контроля.  При планировании и составлении  административных проверочных  работ,  следует  сделать  акцент на  тематические  блоки,  которые  вызвали  наибольшие  </w:t>
      </w:r>
      <w:r w:rsidRPr="00197360">
        <w:rPr>
          <w:rFonts w:ascii="Times New Roman" w:hAnsi="Times New Roman" w:cs="Times New Roman"/>
          <w:sz w:val="28"/>
          <w:szCs w:val="24"/>
        </w:rPr>
        <w:lastRenderedPageBreak/>
        <w:t xml:space="preserve">затруднения  по  результатам ВПР.  Чтобы  результаты  </w:t>
      </w:r>
      <w:proofErr w:type="spellStart"/>
      <w:r w:rsidRPr="00197360">
        <w:rPr>
          <w:rFonts w:ascii="Times New Roman" w:hAnsi="Times New Roman" w:cs="Times New Roman"/>
          <w:sz w:val="28"/>
          <w:szCs w:val="24"/>
        </w:rPr>
        <w:t>внутришкольных</w:t>
      </w:r>
      <w:proofErr w:type="spellEnd"/>
      <w:r w:rsidRPr="00197360">
        <w:rPr>
          <w:rFonts w:ascii="Times New Roman" w:hAnsi="Times New Roman" w:cs="Times New Roman"/>
          <w:sz w:val="28"/>
          <w:szCs w:val="24"/>
        </w:rPr>
        <w:t xml:space="preserve">  работ  и  ВПР  были  сопоставимы, административные  проверочные  работы  должны  иметь  такую  же  структуру, как  и  ВПР;</w:t>
      </w:r>
    </w:p>
    <w:p w:rsidR="00B778A3" w:rsidRPr="00197360" w:rsidRDefault="00B778A3" w:rsidP="00B778A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>пересмотреть содержание основной образовательной программы школы или некоторые ее разделы с целью внесения корректировок после анализа результатов ВПР;</w:t>
      </w:r>
    </w:p>
    <w:p w:rsidR="00B778A3" w:rsidRPr="00197360" w:rsidRDefault="00B778A3" w:rsidP="00B778A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360">
        <w:rPr>
          <w:rFonts w:ascii="Times New Roman" w:hAnsi="Times New Roman" w:cs="Times New Roman"/>
          <w:sz w:val="28"/>
          <w:szCs w:val="24"/>
        </w:rPr>
        <w:t xml:space="preserve">пересмотреть учебный план внеурочной деятельности для формирования мотивации к изучению того или иного предмета, для формирования </w:t>
      </w:r>
      <w:proofErr w:type="spellStart"/>
      <w:r w:rsidRPr="00197360">
        <w:rPr>
          <w:rFonts w:ascii="Times New Roman" w:hAnsi="Times New Roman" w:cs="Times New Roman"/>
          <w:sz w:val="28"/>
          <w:szCs w:val="24"/>
        </w:rPr>
        <w:t>метапредметных</w:t>
      </w:r>
      <w:proofErr w:type="spellEnd"/>
      <w:r w:rsidRPr="00197360">
        <w:rPr>
          <w:rFonts w:ascii="Times New Roman" w:hAnsi="Times New Roman" w:cs="Times New Roman"/>
          <w:sz w:val="28"/>
          <w:szCs w:val="24"/>
        </w:rPr>
        <w:t xml:space="preserve"> умений;</w:t>
      </w:r>
    </w:p>
    <w:p w:rsidR="00B778A3" w:rsidRPr="00197360" w:rsidRDefault="00B778A3" w:rsidP="00B778A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97360">
        <w:rPr>
          <w:rFonts w:ascii="Times New Roman" w:hAnsi="Times New Roman" w:cs="Times New Roman"/>
          <w:sz w:val="28"/>
          <w:szCs w:val="35"/>
        </w:rPr>
        <w:t xml:space="preserve">администрации школы при проверке рабочих программ акцентировать внимание педагогов на то, внесены ли изменения с учетом анализа результатов ВПР и выявленных сложных/проблемных тем. Включает ли планирование учителя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включены ли учебно-практические задания, которые диагностируют степень </w:t>
      </w:r>
      <w:proofErr w:type="spellStart"/>
      <w:r w:rsidRPr="00197360">
        <w:rPr>
          <w:rFonts w:ascii="Times New Roman" w:hAnsi="Times New Roman" w:cs="Times New Roman"/>
          <w:sz w:val="28"/>
          <w:szCs w:val="35"/>
        </w:rPr>
        <w:t>сформированности</w:t>
      </w:r>
      <w:proofErr w:type="spellEnd"/>
      <w:r w:rsidRPr="00197360">
        <w:rPr>
          <w:rFonts w:ascii="Times New Roman" w:hAnsi="Times New Roman" w:cs="Times New Roman"/>
          <w:sz w:val="28"/>
          <w:szCs w:val="35"/>
        </w:rPr>
        <w:t xml:space="preserve"> универсальных учебных действий</w:t>
      </w:r>
      <w:r w:rsidR="000E1919" w:rsidRPr="00197360">
        <w:rPr>
          <w:rFonts w:ascii="Times New Roman" w:hAnsi="Times New Roman" w:cs="Times New Roman"/>
          <w:sz w:val="28"/>
          <w:szCs w:val="35"/>
        </w:rPr>
        <w:t>;</w:t>
      </w:r>
    </w:p>
    <w:p w:rsidR="000E1919" w:rsidRPr="00197360" w:rsidRDefault="000E1919" w:rsidP="00B778A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97360">
        <w:rPr>
          <w:rFonts w:ascii="Times New Roman" w:hAnsi="Times New Roman" w:cs="Times New Roman"/>
          <w:sz w:val="28"/>
          <w:szCs w:val="35"/>
        </w:rPr>
        <w:t>усилить контроль со стороны администрации</w:t>
      </w:r>
      <w:r w:rsidR="00E45F8C" w:rsidRPr="00197360">
        <w:rPr>
          <w:rFonts w:ascii="Times New Roman" w:hAnsi="Times New Roman" w:cs="Times New Roman"/>
          <w:sz w:val="28"/>
          <w:szCs w:val="35"/>
        </w:rPr>
        <w:t xml:space="preserve"> за учителями – предметниками, классами, показавшими низкие и необъективные результаты на ВПР через посещение уроков, через проведение административных контрольных работ, через проверку тетрадей, через оценочные процедуры, которые проводит учитель и через анализ критериев, на основе которы</w:t>
      </w:r>
      <w:r w:rsidR="003E5055" w:rsidRPr="00197360">
        <w:rPr>
          <w:rFonts w:ascii="Times New Roman" w:hAnsi="Times New Roman" w:cs="Times New Roman"/>
          <w:sz w:val="28"/>
          <w:szCs w:val="35"/>
        </w:rPr>
        <w:t>х происходит оценка результатов;</w:t>
      </w:r>
    </w:p>
    <w:p w:rsidR="003E5055" w:rsidRPr="00197360" w:rsidRDefault="003E5055" w:rsidP="00B778A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97360">
        <w:rPr>
          <w:rFonts w:ascii="Times New Roman" w:hAnsi="Times New Roman" w:cs="Times New Roman"/>
          <w:sz w:val="28"/>
          <w:szCs w:val="35"/>
        </w:rPr>
        <w:t>направление учителей-предметников на курсы повышения квалификации.</w:t>
      </w:r>
    </w:p>
    <w:p w:rsidR="00A7491B" w:rsidRPr="00197360" w:rsidRDefault="00A7491B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491B" w:rsidRPr="00197360" w:rsidRDefault="00A7491B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491B" w:rsidRPr="00197360" w:rsidRDefault="00A7491B" w:rsidP="00A7491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491B" w:rsidRPr="00197360" w:rsidRDefault="00A7491B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491B" w:rsidRPr="00197360" w:rsidRDefault="00A7491B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491B" w:rsidRPr="00197360" w:rsidRDefault="00A7491B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bookmarkEnd w:id="0"/>
    <w:p w:rsidR="005024E6" w:rsidRPr="00197360" w:rsidRDefault="005024E6" w:rsidP="00A7491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5024E6" w:rsidRPr="0019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1E0"/>
    <w:multiLevelType w:val="hybridMultilevel"/>
    <w:tmpl w:val="CD000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87FC9"/>
    <w:multiLevelType w:val="hybridMultilevel"/>
    <w:tmpl w:val="04F6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C37BD"/>
    <w:multiLevelType w:val="hybridMultilevel"/>
    <w:tmpl w:val="2684E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F1F70"/>
    <w:multiLevelType w:val="hybridMultilevel"/>
    <w:tmpl w:val="89BC9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0C35"/>
    <w:multiLevelType w:val="hybridMultilevel"/>
    <w:tmpl w:val="5466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04A30"/>
    <w:multiLevelType w:val="hybridMultilevel"/>
    <w:tmpl w:val="B83ED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40"/>
    <w:rsid w:val="00013E61"/>
    <w:rsid w:val="00041381"/>
    <w:rsid w:val="000E1919"/>
    <w:rsid w:val="00165A9A"/>
    <w:rsid w:val="00197360"/>
    <w:rsid w:val="002B625E"/>
    <w:rsid w:val="00331A90"/>
    <w:rsid w:val="003C7879"/>
    <w:rsid w:val="003D72CD"/>
    <w:rsid w:val="003E5055"/>
    <w:rsid w:val="003F15A3"/>
    <w:rsid w:val="004A4C5D"/>
    <w:rsid w:val="004D26F8"/>
    <w:rsid w:val="005024E6"/>
    <w:rsid w:val="00530976"/>
    <w:rsid w:val="00684A97"/>
    <w:rsid w:val="006A46DD"/>
    <w:rsid w:val="00866127"/>
    <w:rsid w:val="009A3DDA"/>
    <w:rsid w:val="00A06540"/>
    <w:rsid w:val="00A7491B"/>
    <w:rsid w:val="00A75C36"/>
    <w:rsid w:val="00B778A3"/>
    <w:rsid w:val="00B95CE5"/>
    <w:rsid w:val="00D979AF"/>
    <w:rsid w:val="00E45F8C"/>
    <w:rsid w:val="00EA51B4"/>
    <w:rsid w:val="00EB3BF5"/>
    <w:rsid w:val="00EE566F"/>
    <w:rsid w:val="00F21E00"/>
    <w:rsid w:val="00F6139E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9FA54-0797-43FE-B343-9A249C39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C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43.5</c:v>
                </c:pt>
                <c:pt idx="2">
                  <c:v>13</c:v>
                </c:pt>
                <c:pt idx="3">
                  <c:v>17.5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84</c:v>
                </c:pt>
                <c:pt idx="1">
                  <c:v>16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63416896"/>
        <c:axId val="-1563431584"/>
      </c:barChart>
      <c:catAx>
        <c:axId val="-156341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563431584"/>
        <c:crosses val="autoZero"/>
        <c:auto val="1"/>
        <c:lblAlgn val="ctr"/>
        <c:lblOffset val="100"/>
        <c:noMultiLvlLbl val="0"/>
      </c:catAx>
      <c:valAx>
        <c:axId val="-15634315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1563416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Ирина Бобровникова</cp:lastModifiedBy>
  <cp:revision>16</cp:revision>
  <dcterms:created xsi:type="dcterms:W3CDTF">2019-10-10T12:28:00Z</dcterms:created>
  <dcterms:modified xsi:type="dcterms:W3CDTF">2019-10-13T16:58:00Z</dcterms:modified>
</cp:coreProperties>
</file>